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Text"/>
        <w:jc w:val="right"/>
        <w:rPr>
          <w:sz w:val="18"/>
          <w:szCs w:val="18"/>
        </w:rPr>
      </w:pPr>
      <w:r>
        <w:rPr/>
        <w:drawing>
          <wp:anchor behindDoc="0" distT="0" distB="152400" distL="152400" distR="152400" simplePos="0" locked="0" layoutInCell="0" allowOverlap="1" relativeHeight="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310" cy="963295"/>
            <wp:effectExtent l="0" t="0" r="0" b="0"/>
            <wp:wrapTopAndBottom/>
            <wp:docPr id="1" name="officeArt 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Helvetica Neue" w:hAnsi="Helvetica Neue" w:cs="Tahoma" w:asciiTheme="majorHAnsi" w:hAnsiTheme="majorHAnsi"/>
          <w:b/>
          <w:b/>
          <w:sz w:val="28"/>
          <w:szCs w:val="28"/>
          <w:lang w:val="it-IT"/>
        </w:rPr>
      </w:pPr>
      <w:r>
        <w:rPr>
          <w:rFonts w:cs="Tahoma" w:ascii="Helvetica Neue" w:hAnsi="Helvetica Neue" w:asciiTheme="majorHAnsi" w:hAnsiTheme="majorHAnsi"/>
          <w:b/>
          <w:sz w:val="28"/>
          <w:szCs w:val="28"/>
          <w:lang w:val="it-IT"/>
        </w:rPr>
        <w:t>TIROCINIO – Liceo delle scienze umane</w:t>
      </w:r>
    </w:p>
    <w:p>
      <w:pPr>
        <w:pStyle w:val="Normal"/>
        <w:jc w:val="center"/>
        <w:rPr>
          <w:rFonts w:ascii="Helvetica Neue" w:hAnsi="Helvetica Neue" w:asciiTheme="majorHAnsi" w:hAnsiTheme="majorHAnsi"/>
          <w:sz w:val="22"/>
          <w:szCs w:val="22"/>
          <w:lang w:val="it-IT"/>
        </w:rPr>
      </w:pPr>
      <w:r>
        <w:rPr>
          <w:rFonts w:asciiTheme="majorHAnsi" w:hAnsiTheme="majorHAnsi" w:ascii="Helvetica Neue" w:hAnsi="Helvetica Neue"/>
          <w:sz w:val="22"/>
          <w:szCs w:val="22"/>
          <w:lang w:val="it-IT"/>
        </w:rPr>
      </w:r>
      <w:bookmarkStart w:id="0" w:name="_GoBack"/>
      <w:bookmarkStart w:id="1" w:name="_GoBack"/>
      <w:bookmarkEnd w:id="1"/>
    </w:p>
    <w:p>
      <w:pPr>
        <w:pStyle w:val="Normal"/>
        <w:jc w:val="both"/>
        <w:rPr>
          <w:rFonts w:ascii="Helvetica Neue" w:hAnsi="Helvetica Neue" w:cs="Tahoma" w:asciiTheme="majorHAnsi" w:hAnsiTheme="majorHAnsi"/>
          <w:sz w:val="22"/>
          <w:szCs w:val="22"/>
          <w:lang w:val="it-IT"/>
        </w:rPr>
      </w:pPr>
      <w:r>
        <w:rPr>
          <w:rFonts w:cs="Tahoma" w:ascii="Helvetica Neue" w:hAnsi="Helvetica Neue" w:asciiTheme="majorHAnsi" w:hAnsiTheme="majorHAnsi"/>
          <w:sz w:val="22"/>
          <w:szCs w:val="22"/>
          <w:lang w:val="it-IT"/>
        </w:rPr>
        <w:t>L’iceo delle scienze umane di Malles Vi dà delle indicazioni sullo svolgimento del tirocinio.</w:t>
      </w:r>
    </w:p>
    <w:p>
      <w:pPr>
        <w:pStyle w:val="Normal"/>
        <w:jc w:val="both"/>
        <w:rPr>
          <w:rFonts w:ascii="Helvetica Neue" w:hAnsi="Helvetica Neue" w:cs="Tahoma" w:asciiTheme="majorHAnsi" w:hAnsiTheme="majorHAnsi"/>
          <w:sz w:val="22"/>
          <w:szCs w:val="22"/>
          <w:lang w:val="it-IT"/>
        </w:rPr>
      </w:pPr>
      <w:r>
        <w:rPr>
          <w:rFonts w:cs="Tahoma" w:ascii="Helvetica Neue" w:hAnsi="Helvetica Neue"/>
          <w:sz w:val="22"/>
          <w:szCs w:val="22"/>
          <w:lang w:val="it-IT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REGOLE FONDAMENTALI DEL TIROCINIO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Il periodo del tirocinio permette agli scolari, come completamento delle lezioni teoriche, di mettere in pratica le conoscenze acquisite in classe.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In particolare il tirocinio dovrebbe offrire ai tirocinanti la possibilità di prendere visione delle esigenze lavorative di tutti i giorni nelle professioni in ogni campo.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/>
        </w:rPr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In dettaglio:</w:t>
      </w:r>
    </w:p>
    <w:p>
      <w:pPr>
        <w:pStyle w:val="ListParagraph"/>
        <w:numPr>
          <w:ilvl w:val="0"/>
          <w:numId w:val="2"/>
        </w:numPr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Conoscenza dell’ambito lavorativo;</w:t>
      </w:r>
    </w:p>
    <w:p>
      <w:pPr>
        <w:pStyle w:val="ListParagraph"/>
        <w:numPr>
          <w:ilvl w:val="0"/>
          <w:numId w:val="2"/>
        </w:numPr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Partecipazione diretta alle azioni e alla programmazione, al lavoro di team;</w:t>
      </w:r>
    </w:p>
    <w:p>
      <w:pPr>
        <w:pStyle w:val="ListParagraph"/>
        <w:numPr>
          <w:ilvl w:val="0"/>
          <w:numId w:val="2"/>
        </w:numPr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Sensibilizzazione verso situazioni problematiche.</w:t>
      </w:r>
    </w:p>
    <w:p>
      <w:pPr>
        <w:pStyle w:val="Normal"/>
        <w:jc w:val="both"/>
        <w:rPr>
          <w:rFonts w:ascii="Helvetica Neue" w:hAnsi="Helvetica Neue" w:cs="Tahoma" w:asciiTheme="majorHAnsi" w:hAnsiTheme="majorHAnsi"/>
          <w:sz w:val="22"/>
          <w:szCs w:val="22"/>
          <w:lang w:val="it-IT"/>
        </w:rPr>
      </w:pPr>
      <w:r>
        <w:rPr>
          <w:rFonts w:cs="Tahoma" w:ascii="Helvetica Neue" w:hAnsi="Helvetica Neue" w:asciiTheme="majorHAnsi" w:hAnsiTheme="majorHAnsi"/>
          <w:sz w:val="22"/>
          <w:szCs w:val="22"/>
          <w:lang w:val="it-IT"/>
        </w:rPr>
        <w:t>Il/La tirocinante si trova ancora in uno stadio formativo e dovrebbe, perciò, eseguire il lavoro sotto sorveglianza. Osservando le capacità dei tirocinanti, in base al Vostro personale giudizio, potete decidere di affidargli altre responsabilità e farli lavorare da soli.</w:t>
      </w:r>
    </w:p>
    <w:p>
      <w:pPr>
        <w:pStyle w:val="Normal"/>
        <w:jc w:val="both"/>
        <w:rPr>
          <w:rFonts w:ascii="Helvetica Neue" w:hAnsi="Helvetica Neue" w:cs="Tahoma" w:asciiTheme="majorHAnsi" w:hAnsiTheme="majorHAnsi"/>
          <w:sz w:val="22"/>
          <w:szCs w:val="22"/>
          <w:lang w:val="it-IT"/>
        </w:rPr>
      </w:pPr>
      <w:r>
        <w:rPr>
          <w:rFonts w:cs="Tahoma" w:ascii="Helvetica Neue" w:hAnsi="Helvetica Neue" w:asciiTheme="majorHAnsi" w:hAnsiTheme="majorHAnsi"/>
          <w:sz w:val="22"/>
          <w:szCs w:val="22"/>
          <w:lang w:val="it-IT"/>
        </w:rPr>
        <w:t xml:space="preserve">Durante il periodo del tirocinio gli scolari sono assicurati nell’ambito delle disposizioni vigenti in materia legislativa.  </w:t>
      </w:r>
    </w:p>
    <w:p>
      <w:pPr>
        <w:pStyle w:val="Normal"/>
        <w:jc w:val="both"/>
        <w:rPr>
          <w:rFonts w:ascii="Helvetica Neue" w:hAnsi="Helvetica Neue" w:cs="Tahoma" w:asciiTheme="majorHAnsi" w:hAnsiTheme="majorHAnsi"/>
          <w:sz w:val="22"/>
          <w:szCs w:val="22"/>
          <w:lang w:val="it-IT"/>
        </w:rPr>
      </w:pPr>
      <w:r>
        <w:rPr>
          <w:rFonts w:cs="Tahoma" w:ascii="Helvetica Neue" w:hAnsi="Helvetica Neue"/>
          <w:sz w:val="22"/>
          <w:szCs w:val="22"/>
          <w:lang w:val="it-IT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PERIODO DI LAVORO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Se la situazione del posto in cui si svolge il tirocinio lo richiede il tirocinante può svolgere attività fino a 8 ore al giorno. Il contingente delle ore non può però superare le 38 ore settimanali. La divisione di queste ore in una settimana resta affidata all’Istituzione e dovrebbe essere concordata con il tirocinante. Le assenze del tirocinante vanno annotate nella documentazione del tirocinio.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VALUTAZIONE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Vi preghiamo di osservare il lavoro degli alunni durante il tirocinio, di indicare sulla documentazione del tirocinio le Vostre impressioni e di consegnarla al tirocinante o di spedirla alla direzione della scuola.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Ad ogni tirocinante viene assegnato un Tutor (Insegnante).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Questi sarà in collegamento con Voi nel corso del periodo del tirocinio e parlerà personalmente con Voi.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Se ci dovessero essere difficoltà con i tirocinanti potete rivolgerVi all’Istituto per i Servizi Sociali al numero 0473/831 259.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Grazie mille per la Vostra collaborazione.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/>
        </w:rPr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/>
        </w:rPr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t>IL DIRIGENTE SCOLASTICO</w:t>
      </w:r>
    </w:p>
    <w:p>
      <w:pPr>
        <w:pStyle w:val="ListParagraph"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/>
        </w:rPr>
      </w:r>
    </w:p>
    <w:p>
      <w:pPr>
        <w:pStyle w:val="ListParagraph"/>
        <w:spacing w:before="0" w:after="200"/>
        <w:contextualSpacing/>
        <w:jc w:val="both"/>
        <w:rPr>
          <w:rFonts w:ascii="Helvetica Neue" w:hAnsi="Helvetica Neue" w:cs="Tahoma" w:asciiTheme="majorHAnsi" w:hAnsiTheme="majorHAnsi"/>
        </w:rPr>
      </w:pPr>
      <w:r>
        <w:rPr>
          <w:rFonts w:cs="Tahoma" w:ascii="Helvetica Neue" w:hAnsi="Helvetica Neue" w:asciiTheme="majorHAnsi" w:hAnsiTheme="majorHAnsi"/>
        </w:rPr>
        <w:drawing>
          <wp:anchor behindDoc="0" distT="152400" distB="152400" distL="152400" distR="152400" simplePos="0" locked="0" layoutInCell="0" allowOverlap="1" relativeHeight="3">
            <wp:simplePos x="0" y="0"/>
            <wp:positionH relativeFrom="page">
              <wp:align>left</wp:align>
            </wp:positionH>
            <wp:positionV relativeFrom="margin">
              <wp:posOffset>9069705</wp:posOffset>
            </wp:positionV>
            <wp:extent cx="7560310" cy="878205"/>
            <wp:effectExtent l="0" t="0" r="0" b="0"/>
            <wp:wrapTopAndBottom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 w:ascii="Helvetica Neue" w:hAnsi="Helvetica Neue" w:asciiTheme="majorHAnsi" w:hAnsiTheme="majorHAnsi"/>
        </w:rPr>
        <w:t>Werner Oberthaler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 Black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Helvetica Neue">
    <w:charset w:val="01"/>
    <w:family w:val="roman"/>
    <w:pitch w:val="variable"/>
  </w:font>
  <w:font w:name="Calibri">
    <w:charset w:val="01"/>
    <w:family w:val="roman"/>
    <w:pitch w:val="variable"/>
  </w:font>
  <w:font w:name="Calibri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de-DE" w:eastAsia="de-DE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pBdr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US" w:eastAsia="en-US" w:bidi="ar-SA"/>
    </w:rPr>
  </w:style>
  <w:style w:type="paragraph" w:styleId="Berschrift1">
    <w:name w:val="Heading 1"/>
    <w:basedOn w:val="Normal"/>
    <w:next w:val="Normal"/>
    <w:link w:val="Berschrift1Zchn"/>
    <w:qFormat/>
    <w:rsid w:val="00a2084b"/>
    <w:pPr>
      <w:keepNext w:val="true"/>
      <w:pBdr/>
      <w:shd w:val="pct5" w:color="auto" w:fill="auto"/>
      <w:overflowPunct w:val="true"/>
      <w:jc w:val="center"/>
      <w:textAlignment w:val="baseline"/>
      <w:outlineLvl w:val="0"/>
    </w:pPr>
    <w:rPr>
      <w:rFonts w:ascii="Arial Black" w:hAnsi="Arial Black" w:eastAsia="Times New Roman"/>
      <w:b/>
      <w:sz w:val="32"/>
      <w:szCs w:val="20"/>
      <w:lang w:val="de-DE" w:eastAsia="de-D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verknpfung">
    <w:name w:val="Internetverknüpfung"/>
    <w:rPr>
      <w:u w:val="single"/>
    </w:rPr>
  </w:style>
  <w:style w:type="character" w:styleId="Berschrift1Zchn" w:customStyle="1">
    <w:name w:val="Überschrift 1 Zchn"/>
    <w:basedOn w:val="DefaultParagraphFont"/>
    <w:qFormat/>
    <w:rsid w:val="00a2084b"/>
    <w:rPr>
      <w:rFonts w:ascii="Arial Black" w:hAnsi="Arial Black" w:eastAsia="Times New Roman"/>
      <w:b/>
      <w:sz w:val="32"/>
      <w:shd w:fill="F2F2F2" w:val="clear"/>
    </w:rPr>
  </w:style>
  <w:style w:type="character" w:styleId="KopfzeileZchn" w:customStyle="1">
    <w:name w:val="Kopfzeile Zchn"/>
    <w:basedOn w:val="DefaultParagraphFont"/>
    <w:uiPriority w:val="99"/>
    <w:qFormat/>
    <w:rsid w:val="00d72125"/>
    <w:rPr>
      <w:sz w:val="24"/>
      <w:szCs w:val="24"/>
      <w:lang w:val="en-US" w:eastAsia="en-US"/>
    </w:rPr>
  </w:style>
  <w:style w:type="character" w:styleId="FuzeileZchn" w:customStyle="1">
    <w:name w:val="Fußzeile Zchn"/>
    <w:basedOn w:val="DefaultParagraphFont"/>
    <w:uiPriority w:val="99"/>
    <w:qFormat/>
    <w:rsid w:val="00d72125"/>
    <w:rPr>
      <w:sz w:val="24"/>
      <w:szCs w:val="24"/>
      <w:lang w:val="en-US" w:eastAsia="en-US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ohit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ohit Devanagari"/>
    </w:rPr>
  </w:style>
  <w:style w:type="paragraph" w:styleId="Text" w:customStyle="1">
    <w:name w:val="Text"/>
    <w:qFormat/>
    <w:pPr>
      <w:widowControl/>
      <w:pBdr/>
      <w:bidi w:val="0"/>
      <w:spacing w:before="0" w:after="0"/>
      <w:jc w:val="left"/>
    </w:pPr>
    <w:rPr>
      <w:rFonts w:ascii="Helvetica Neue" w:hAnsi="Helvetica Neue" w:cs="Arial Unicode MS" w:eastAsia="Arial Unicode MS"/>
      <w:color w:val="000000"/>
      <w:kern w:val="0"/>
      <w:sz w:val="22"/>
      <w:szCs w:val="22"/>
      <w:lang w:val="de-DE" w:eastAsia="de-DE" w:bidi="ar-SA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d72125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unhideWhenUsed/>
    <w:rsid w:val="00d72125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ListParagraph" w:customStyle="1">
    <w:name w:val="List Paragraph"/>
    <w:basedOn w:val="Normal"/>
    <w:qFormat/>
    <w:rsid w:val="00562caa"/>
    <w:pPr>
      <w:pBdr/>
      <w:spacing w:lineRule="auto" w:line="276" w:before="0" w:after="200"/>
      <w:ind w:left="720" w:hanging="0"/>
      <w:contextualSpacing/>
    </w:pPr>
    <w:rPr>
      <w:rFonts w:ascii="Calibri" w:hAnsi="Calibri" w:eastAsia="Times New Roman" w:cs="Calibri"/>
      <w:sz w:val="22"/>
      <w:szCs w:val="22"/>
      <w:lang w:val="it-IT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36FB07EB</Template>
  <TotalTime>0</TotalTime>
  <Application>LibreOffice/7.3.7.2$Linux_X86_64 LibreOffice_project/30$Build-2</Application>
  <AppVersion>15.0000</AppVersion>
  <Pages>1</Pages>
  <Words>305</Words>
  <Characters>1792</Characters>
  <CharactersWithSpaces>2073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2019-02-14T13:16:00Z</dcterms:created>
  <dc:creator>Schwarz, Gertrud Theresia</dc:creator>
  <dc:description/>
  <dc:language>de-DE</dc:language>
  <cp:lastModifiedBy/>
  <dcterms:modified xsi:type="dcterms:W3CDTF">2023-12-13T09:42:22Z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